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923.0" w:type="dxa"/>
        <w:jc w:val="left"/>
        <w:tblInd w:w="-687.0" w:type="dxa"/>
        <w:tblLayout w:type="fixed"/>
        <w:tblLook w:val="0000"/>
      </w:tblPr>
      <w:tblGrid>
        <w:gridCol w:w="9923"/>
        <w:tblGridChange w:id="0">
          <w:tblGrid>
            <w:gridCol w:w="9923"/>
          </w:tblGrid>
        </w:tblGridChange>
      </w:tblGrid>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shd w:fill="f1f2f2" w:val="clear"/>
          </w:tcPr>
          <w:p w:rsidR="00000000" w:rsidDel="00000000" w:rsidP="00000000" w:rsidRDefault="00000000" w:rsidRPr="00000000" w14:paraId="00000002">
            <w:pPr>
              <w:tabs>
                <w:tab w:val="left" w:leader="none" w:pos="-1440"/>
                <w:tab w:val="left" w:leader="none" w:pos="288"/>
                <w:tab w:val="left" w:leader="none" w:pos="1152"/>
                <w:tab w:val="left" w:leader="none" w:pos="1440"/>
                <w:tab w:val="left" w:leader="none" w:pos="1584"/>
                <w:tab w:val="left" w:leader="none" w:pos="1728"/>
                <w:tab w:val="left" w:leader="none" w:pos="1872"/>
                <w:tab w:val="left" w:leader="none" w:pos="2694"/>
                <w:tab w:val="left" w:leader="none" w:pos="2736"/>
                <w:tab w:val="left" w:leader="none" w:pos="3456"/>
                <w:tab w:val="left" w:leader="none" w:pos="5103"/>
                <w:tab w:val="left" w:leader="none" w:pos="7230"/>
              </w:tabs>
              <w:spacing w:before="240"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color w:val="212529"/>
                <w:sz w:val="20"/>
                <w:szCs w:val="20"/>
                <w:rtl w:val="0"/>
              </w:rPr>
              <w:t xml:space="preserve">Классика Петергофа. Фонтаны + Большой дворец. Комбо. 1 день</w:t>
              <w:br w:type="textWrapping"/>
            </w:r>
            <w:r w:rsidDel="00000000" w:rsidR="00000000" w:rsidRPr="00000000">
              <w:rPr>
                <w:rtl w:val="0"/>
              </w:rPr>
            </w:r>
          </w:p>
        </w:tc>
      </w:tr>
    </w:tbl>
    <w:p w:rsidR="00000000" w:rsidDel="00000000" w:rsidP="00000000" w:rsidRDefault="00000000" w:rsidRPr="00000000" w14:paraId="00000003">
      <w:pPr>
        <w:tabs>
          <w:tab w:val="left" w:leader="none" w:pos="-1440"/>
          <w:tab w:val="left" w:leader="none" w:pos="2910"/>
        </w:tabs>
        <w:spacing w:after="0" w:line="240" w:lineRule="auto"/>
        <w:ind w:right="-108"/>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ab/>
      </w:r>
    </w:p>
    <w:tbl>
      <w:tblPr>
        <w:tblStyle w:val="Table2"/>
        <w:tblW w:w="9935.0" w:type="dxa"/>
        <w:jc w:val="left"/>
        <w:tblInd w:w="-687.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54"/>
        <w:gridCol w:w="9681"/>
        <w:tblGridChange w:id="0">
          <w:tblGrid>
            <w:gridCol w:w="254"/>
            <w:gridCol w:w="9681"/>
          </w:tblGrid>
        </w:tblGridChange>
      </w:tblGrid>
      <w:tr>
        <w:trPr>
          <w:cantSplit w:val="0"/>
          <w:trHeight w:val="316.57373046875" w:hRule="atLeast"/>
          <w:tblHeader w:val="0"/>
        </w:trPr>
        <w:tc>
          <w:tcPr>
            <w:gridSpan w:val="2"/>
            <w:tcBorders>
              <w:top w:color="000000" w:space="0" w:sz="4" w:val="single"/>
              <w:left w:color="000000" w:space="0" w:sz="4" w:val="single"/>
              <w:bottom w:color="000000" w:space="0" w:sz="4" w:val="single"/>
              <w:right w:color="000000" w:space="0" w:sz="4" w:val="single"/>
            </w:tcBorders>
            <w:shd w:fill="f1f2f2" w:val="clear"/>
            <w:vAlign w:val="center"/>
          </w:tcPr>
          <w:p w:rsidR="00000000" w:rsidDel="00000000" w:rsidP="00000000" w:rsidRDefault="00000000" w:rsidRPr="00000000" w14:paraId="00000004">
            <w:pPr>
              <w:widowControl w:val="0"/>
              <w:spacing w:after="0" w:before="80" w:line="276" w:lineRule="auto"/>
              <w:ind w:right="-102"/>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Даты тура: 30 апреля, 02 мая, 04 мая, 07 мая, 09 мая, 11 мая, 14 мая, 17 мая, 21 мая, 24 мая, 28 мая, 31 мая, 04 июня, 07 июня, 11 июня, 14 июня, 18 июня, 21 июня, 25 июня, 28 июня.</w:t>
            </w:r>
          </w:p>
        </w:tc>
      </w:tr>
      <w:tr>
        <w:trPr>
          <w:cantSplit w:val="0"/>
          <w:trHeight w:val="12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widowControl w:val="0"/>
              <w:spacing w:after="0" w:before="240" w:line="240" w:lineRule="auto"/>
              <w:jc w:val="both"/>
              <w:rPr>
                <w:rFonts w:ascii="Verdana" w:cs="Verdana" w:eastAsia="Verdana" w:hAnsi="Verdana"/>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10:45 – подача автобуса к ст. м. «Невский Проспект»</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Место посадки: СПб., ст. м. «Невский Проспект», парковка за Казанским собором.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11:00 – </w:t>
            </w:r>
            <w:hyperlink r:id="rId6">
              <w:r w:rsidDel="00000000" w:rsidR="00000000" w:rsidRPr="00000000">
                <w:rPr>
                  <w:rFonts w:ascii="Verdana" w:cs="Verdana" w:eastAsia="Verdana" w:hAnsi="Verdana"/>
                  <w:sz w:val="18"/>
                  <w:szCs w:val="18"/>
                  <w:u w:val="single"/>
                  <w:rtl w:val="0"/>
                </w:rPr>
                <w:t xml:space="preserve">отправление автобуса от ст. м. «Невский Проспект»</w:t>
                <w:br w:type="textWrapping"/>
                <w:br w:type="textWrapping"/>
              </w:r>
            </w:hyperlink>
            <w:r w:rsidDel="00000000" w:rsidR="00000000" w:rsidRPr="00000000">
              <w:rPr>
                <w:rFonts w:ascii="Verdana" w:cs="Verdana" w:eastAsia="Verdana" w:hAnsi="Verdana"/>
                <w:b w:val="1"/>
                <w:sz w:val="18"/>
                <w:szCs w:val="18"/>
                <w:rtl w:val="0"/>
              </w:rPr>
              <w:t xml:space="preserve">Экскурсия в Петергоф</w:t>
            </w:r>
            <w:r w:rsidDel="00000000" w:rsidR="00000000" w:rsidRPr="00000000">
              <w:rPr>
                <w:rFonts w:ascii="Verdana" w:cs="Verdana" w:eastAsia="Verdana" w:hAnsi="Verdana"/>
                <w:sz w:val="18"/>
                <w:szCs w:val="18"/>
                <w:rtl w:val="0"/>
              </w:rPr>
              <w:t xml:space="preserve"> предоставляет возможность окунуться в атмосферу царской эпохи, узнать множество интересных фактов о жизни императорской семьи и истории строительства этого великолепного Государственного Музея Заповедника Петергоф.</w:t>
              <w:br w:type="textWrapping"/>
              <w:br w:type="textWrapping"/>
              <w:t xml:space="preserve">Посетители могут насладиться видом на Финский залив с Верхних садов, и, конечно, в летнее время полюбоваться великолепием Петергофских фонтанов, которые являются одним из символов этого места. </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Нижний парк</w:t>
            </w:r>
            <w:r w:rsidDel="00000000" w:rsidR="00000000" w:rsidRPr="00000000">
              <w:rPr>
                <w:rFonts w:ascii="Verdana" w:cs="Verdana" w:eastAsia="Verdana" w:hAnsi="Verdana"/>
                <w:sz w:val="18"/>
                <w:szCs w:val="18"/>
                <w:rtl w:val="0"/>
              </w:rPr>
              <w:t xml:space="preserve"> - это место, где каждый шаг сопровождается удивительными видами и архитектурными шедеврами. Это  мир искусства, природы и величия. Место наполнено удивительной энергией и вдохновляет на новые открытия и впечатления. Не удивительно, что этот парк считается одним из самых прекрасных и уникальных мест в России. </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150 фонтанов с их мощными водяными струями, играют в солнечных лучах, создают неповторимую атмосферу волшебства и великолепия. А четыре грандиозных каскада вдохновляют на восхищение и восхищают своей мощью и красотой.</w:t>
              <w:br w:type="textWrapping"/>
              <w:br w:type="textWrapping"/>
            </w:r>
            <w:r w:rsidDel="00000000" w:rsidR="00000000" w:rsidRPr="00000000">
              <w:rPr>
                <w:rFonts w:ascii="Verdana" w:cs="Verdana" w:eastAsia="Verdana" w:hAnsi="Verdana"/>
                <w:b w:val="1"/>
                <w:sz w:val="18"/>
                <w:szCs w:val="18"/>
                <w:rtl w:val="0"/>
              </w:rPr>
              <w:t xml:space="preserve">Большой дворец в Петергофе</w:t>
            </w:r>
            <w:r w:rsidDel="00000000" w:rsidR="00000000" w:rsidRPr="00000000">
              <w:rPr>
                <w:rFonts w:ascii="Verdana" w:cs="Verdana" w:eastAsia="Verdana" w:hAnsi="Verdana"/>
                <w:sz w:val="18"/>
                <w:szCs w:val="18"/>
                <w:rtl w:val="0"/>
              </w:rPr>
              <w:t xml:space="preserve"> является настоящим шедевром архитектуры, символом роскоши и власти. Построенный в начале XVIII века по приказу Петра I, он является одним из главных архитектурных памятников России. В прежние времена это была официальная парадная резиденция русских императоров, также известная как "коронный" дворец. Именно здесь принимались важные для страны решения, устраивались великолепные балы, маскарады, праздники, приемы именитых гостей. Этот дворец стал свидетелем многих знаменательных исторических событий и является одним из самых впечатляющих памятников архитектуры и культуры.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17:00 Отправление в Санкт-Петербург</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Ориентировочное время прибытия в Санкт-Петербург:</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before="0" w:line="276"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Конечная остановка: 18:00 ст. м. «Невский проспект»</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sz w:val="18"/>
          <w:szCs w:val="18"/>
        </w:rPr>
      </w:pPr>
      <w:r w:rsidDel="00000000" w:rsidR="00000000" w:rsidRPr="00000000">
        <w:rPr>
          <w:rtl w:val="0"/>
        </w:rPr>
      </w:r>
    </w:p>
    <w:tbl>
      <w:tblPr>
        <w:tblStyle w:val="Table3"/>
        <w:tblW w:w="9924.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7"/>
        <w:gridCol w:w="1447"/>
        <w:tblGridChange w:id="0">
          <w:tblGrid>
            <w:gridCol w:w="8477"/>
            <w:gridCol w:w="14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0">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Стоимость экскурсии</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spacing w:after="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 чел.</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Взрослый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3 790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18 лет и пенсионеры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2 990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14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1 990 руб.</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Ребенок до 5 лет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Бесплатно</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67" w:right="-284"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В стоимость тура входит:</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транспортное обслуживание</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услуги экскурсовода</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входные билеты с экскурсией в Нижний Парк</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53" w:right="-284" w:hanging="360"/>
        <w:jc w:val="left"/>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sz w:val="18"/>
          <w:szCs w:val="18"/>
          <w:rtl w:val="0"/>
        </w:rPr>
        <w:t xml:space="preserve">входные билеты с экскурсией в Большой Дворец</w:t>
      </w:r>
      <w:r w:rsidDel="00000000" w:rsidR="00000000" w:rsidRPr="00000000">
        <w:rPr>
          <w:rtl w:val="0"/>
        </w:rPr>
      </w:r>
    </w:p>
    <w:p w:rsidR="00000000" w:rsidDel="00000000" w:rsidP="00000000" w:rsidRDefault="00000000" w:rsidRPr="00000000" w14:paraId="00000020">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1">
      <w:pPr>
        <w:keepNext w:val="1"/>
        <w:keepLines w:val="1"/>
        <w:spacing w:after="0" w:line="240" w:lineRule="auto"/>
        <w:ind w:left="-567" w:firstLine="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Комментарии к туру:</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Схема размещения мест в автобусе может незначительно меняться в зависимости от марки и вместимости транспортного средства.</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При себе необходимо иметь паспорт</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b w:val="0"/>
          <w:i w:val="0"/>
          <w:smallCaps w:val="0"/>
          <w:strike w:val="0"/>
          <w:color w:val="000000"/>
          <w:sz w:val="18"/>
          <w:szCs w:val="18"/>
          <w:u w:val="none"/>
          <w:shd w:fill="auto" w:val="clear"/>
          <w:vertAlign w:val="baseline"/>
        </w:rPr>
      </w:pPr>
      <w:r w:rsidDel="00000000" w:rsidR="00000000" w:rsidRPr="00000000">
        <w:rPr>
          <w:rtl w:val="0"/>
        </w:rPr>
        <w:t xml:space="preserve">Необходимо брать с собой в дорогу наличные деньги на дополнительные расходы, на объектах маршрута могут отсутствовать терминалы бесконтактной оплаты или интернет.</w:t>
        <w:tab/>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andex.ru/maps/2/saint-petersburg/house/kazanskaya_ulitsa_2/Z0kYdQVjSEMFQFtjfXVycnprZQ==/?indoorLevel=1&amp;ll=30.322728%2C59.933236&amp;utm_source=share&amp;z=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