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Классика Петергофа. Нижний Парк.Фонтаны.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316.573730468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22 апреля, 26 апреля, 30 апреля, 02 мая, 04 мая, 07 мая, 09 мая, 11 мая, 14 мая, 17 мая, 21 мая, 24 мая, 28 мая, 31 мая, 04 июня, 07 июня, 11 июня, 14 июня, 18 июня, 21 июня, 25 июня, 28 июня.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10:45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11:00 – 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  <w:br w:type="textWrapping"/>
                <w:br w:type="textWrapping"/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Экскурсия в Петергоф предоставляет возможность окунуться в атмосферу царской эпохи, узнать множество интересных фактов о жизни императорской семьи и истории строительства этого великолепного Государственного Музея Заповедника Петергоф.</w:t>
              <w:br w:type="textWrapping"/>
              <w:br w:type="textWrapping"/>
              <w:t xml:space="preserve"> Посетители могут насладиться видом на Финский залив с Верхних садов, и, конечно, в летнее время полюбоваться великолепием Петергофских фонтанов, которые являются одним из символов этого места. </w:t>
              <w:br w:type="textWrapping"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Нижний парк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- это место, где каждый шаг сопровождается удивительными видами и архитектурными шедеврами. Это  мир искусства, природы и величия. Место наполнено удивительной энергией и вдохновляет на новые открытия и впечатления. Не удивительно, что этот парк считается одним из самых прекрасных и уникальных мест в России. 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150 фонтанов с их мощными водяными струями, играют в солнечных лучах, создают неповторимую атмосферу волшебства и великолепия. А четыре грандиозных каскада вдохновляют на восхищение и восхищают своей мощью и красотой.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16:00 Отправление в Санкт-Петербург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Ориентировочное время прибытия в Санкт-Петербург: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Конечная остановка: 17:00 ст. м. «Невский проспект»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2 490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1 490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990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транспортное обслуживание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услуги экскурсовода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входные билеты с экскурсией в Нижний Парк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