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687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-1440"/>
                <w:tab w:val="left" w:leader="none" w:pos="288"/>
                <w:tab w:val="left" w:leader="none" w:pos="1152"/>
                <w:tab w:val="left" w:leader="none" w:pos="1440"/>
                <w:tab w:val="left" w:leader="none" w:pos="1584"/>
                <w:tab w:val="left" w:leader="none" w:pos="1728"/>
                <w:tab w:val="left" w:leader="none" w:pos="1872"/>
                <w:tab w:val="left" w:leader="none" w:pos="2694"/>
                <w:tab w:val="left" w:leader="none" w:pos="2736"/>
                <w:tab w:val="left" w:leader="none" w:pos="3456"/>
                <w:tab w:val="left" w:leader="none" w:pos="5103"/>
                <w:tab w:val="left" w:leader="none" w:pos="7230"/>
              </w:tabs>
              <w:spacing w:before="240" w:line="24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12529"/>
                <w:sz w:val="20"/>
                <w:szCs w:val="20"/>
                <w:rtl w:val="0"/>
              </w:rPr>
              <w:t xml:space="preserve">Тур в Гатчину: «Никто не забыт, ничто не забыто». 1 день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-1440"/>
          <w:tab w:val="left" w:leader="none" w:pos="2910"/>
        </w:tabs>
        <w:spacing w:after="0" w:line="240" w:lineRule="auto"/>
        <w:ind w:right="-108"/>
        <w:rPr>
          <w:rFonts w:ascii="Verdana" w:cs="Verdana" w:eastAsia="Verdana" w:hAnsi="Verdana"/>
          <w:i w:val="1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18"/>
          <w:szCs w:val="18"/>
          <w:rtl w:val="0"/>
        </w:rPr>
        <w:tab/>
      </w:r>
    </w:p>
    <w:tbl>
      <w:tblPr>
        <w:tblStyle w:val="Table2"/>
        <w:tblW w:w="9935.0" w:type="dxa"/>
        <w:jc w:val="left"/>
        <w:tblInd w:w="-687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254"/>
        <w:gridCol w:w="9681"/>
        <w:tblGridChange w:id="0">
          <w:tblGrid>
            <w:gridCol w:w="254"/>
            <w:gridCol w:w="9681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80" w:line="276" w:lineRule="auto"/>
              <w:ind w:right="-102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Даты тура: 01 марта, 29 марта, 27 апреля, 09 мая, 17 мая, 31 мая, 15 июня.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before="240" w:line="240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10:00 – подача автобуса к ст. м. «Невский Проспект»</w:t>
            </w:r>
          </w:p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СПб., ст. м. «Невский Проспект», парковка за Казанским собором.</w:t>
            </w:r>
          </w:p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10:15 –</w:t>
            </w:r>
            <w:hyperlink r:id="rId6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«Невский Проспект»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10:45 – дополнительная подача автобуса к ст. м. «Московская»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Место посадки: СПб, ст. м. «Московская», остановка общественного транспорта.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Ориентир: кондитерский магазин «Эстафета» (сладости от «Крупской») по адресу: Московский пр., 189, через дорогу от сквера «Северная роща».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10:50 –</w:t>
            </w:r>
            <w:hyperlink r:id="rId8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rtl w:val="0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rFonts w:ascii="Verdana" w:cs="Verdana" w:eastAsia="Verdana" w:hAnsi="Verdana"/>
                  <w:sz w:val="18"/>
                  <w:szCs w:val="18"/>
                  <w:u w:val="single"/>
                  <w:rtl w:val="0"/>
                </w:rPr>
                <w:t xml:space="preserve">отправление автобуса от ст. м. «Московская»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Трассовая экскурсия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Площадь Победы на проезде </w: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Монумент героическим защитникам Ленинграда на площади Победы (без посещения) – символический центр «Зеленого пояса Славы» протяженностью в 200 км.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Идея воздвигнуть Монумент в память о горожанах, не сдавшихся врагу и отстоявшим город, возникла ещё во время Великой Отечественной войны. Однако к созданию приступили спустя много лет. Лишь в 1960 году было выбрано место под будущий архитектурный ансамбль. Выбор не случаен. На площади Средней Рогатки, как она называлась в июле 1945 года, была возведена временная триумфальная арка.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Зеленый пояс славы. Пулковские Высоты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Пулковские высоты. Пулковский рубеж – один из важнейших оборонительных рубежей на подступах к Ленинграду. Рассказ про мемориал, входящий в Зеленый пояс Славы.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Переезд в деревню Зайцево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Экскурсия посвящена годам ВОВ, блокаде Ленинграда, а также подвигу мирных жителей. </w:t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Комплекс в память о жертвах нацистского геноцида возведён на территории, где в годы Великой Отечественной войны располагались около 80 лагерей для военных, а также детские донорские концентрационные лагеря. В этих местах погибло не менее 8 тысяч детей.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Посещение Мемориального комплекса «Мирным гражданам Советского Союза» с местным гидом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Мемориал поражает масштабами и насыщенной информацией. Его основу составляет 40-метровая стела, на вершине которой расположена фигура матери с детьми. Особенностью памятника стали 150 скульптурных барельефов, созданных на основе историй реальных людей и фотографий, предоставленных разными регионами России. Перед стелой горит Вечный огонь. У его основания на разных языках написаны названия концлагерей, находившихся в странах Европы.Переезд в Гатчину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Обед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(по желанию за доп. плату – 500-750 руб./чел.).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Обзорная экскурсия по Гатчине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Гатчина – это знаменитый пригород Санкт-Петербурга, где династия Романовых обосновала свою царскую резиденцию. Она славится своим великолепным дворцово-парковым ансамблем, а расположенный здесь Приоратский замок построен из земляного грунта. Исторический центр города относится к числу объектов Всемирного наследия ЮНЕСКО.</w:t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Посещение музея города Гатчина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В 2024 году музей города отметил 20-летний юбилей. Постоянная экспозиция музея, представленная в пяти залах, размещается в историческом здании бывшей Гатчинской женской гимназии и рассказывает о жизни и быте горожан в разные исторические периоды: допетровское время, становление города в конце XVIII века, развитие и благоустройство на протяжении XIX –  начале ХХ веков, годы оккупации, послевоенное время и сегодняшние дни.</w:t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17:00 – отправление в Санкт-Петербург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Ориентировочное время прибытия в Санкт-Петербург: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Первая остановка: 18:00 – ст. м. «Московская»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0" w:line="276" w:lineRule="auto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Конечная остановка: 19:00 – ст. м. «Невский проспект»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7"/>
        <w:gridCol w:w="1447"/>
        <w:tblGridChange w:id="0">
          <w:tblGrid>
            <w:gridCol w:w="8477"/>
            <w:gridCol w:w="14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Стоимость экскурсии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 чел.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Взрослый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2 290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18 лет и пенсионеры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2 090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14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1 990 руб.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Ребенок до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Бесплатно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-567" w:right="-284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стоимость тура входит: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Программа тура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Организация тура по таймингу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Трансфер на туристическом автобусе (при группе в количестве менее 18 человек обслуживание производится на микроавтобусе)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Трассовая экскурсия с гидом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Осмотр достопримечательностей по программе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Экскурсионное обслуживание гида на объектах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Обзорные экскурсии в городах по программе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hanging="360"/>
        <w:jc w:val="left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Билеты в музей города Гатчина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153" w:right="-284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30.0" w:type="dxa"/>
        <w:jc w:val="left"/>
        <w:tblInd w:w="-6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25"/>
        <w:gridCol w:w="2505"/>
        <w:tblGridChange w:id="0">
          <w:tblGrid>
            <w:gridCol w:w="7425"/>
            <w:gridCol w:w="2505"/>
          </w:tblGrid>
        </w:tblGridChange>
      </w:tblGrid>
      <w:tr>
        <w:trPr>
          <w:cantSplit w:val="0"/>
          <w:trHeight w:val="251.07824707031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Дополнительно оплачивается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Взр/лг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Обед (по желанию)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500-750 руб./чел.</w:t>
            </w:r>
          </w:p>
        </w:tc>
      </w:tr>
    </w:tbl>
    <w:p w:rsidR="00000000" w:rsidDel="00000000" w:rsidP="00000000" w:rsidRDefault="00000000" w:rsidRPr="00000000" w14:paraId="0000003E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1"/>
        <w:spacing w:after="0" w:line="240" w:lineRule="auto"/>
        <w:ind w:left="-567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Комментарии к туру: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Схема размещения мест в автобусе может незначительно меняться в зависимости от марки и вместимости транспортного средства.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себе необходимо иметь паспорт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Необходимо брать с собой в дорогу наличные деньги на дополнительные расходы, на объектах маршрута могут отсутствовать терминалы бесконтактной оплаты или интернет.</w:t>
        <w:tab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andex.ru/maps/-/CDXt5LNr" TargetMode="External"/><Relationship Id="rId5" Type="http://schemas.openxmlformats.org/officeDocument/2006/relationships/styles" Target="styles.xml"/><Relationship Id="rId6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Relationship Id="rId7" Type="http://schemas.openxmlformats.org/officeDocument/2006/relationships/hyperlink" Target="https://yandex.ru/maps/2/saint-petersburg/house/kazanskaya_ulitsa_2/Z0kYdQVjSEMFQFtjfXVycnprZQ==/?indoorLevel=1&amp;ll=30.322728%2C59.933236&amp;utm_source=share&amp;z=17" TargetMode="External"/><Relationship Id="rId8" Type="http://schemas.openxmlformats.org/officeDocument/2006/relationships/hyperlink" Target="https://yandex.ru/maps/-/CDXt5LN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